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2017年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霞山区人社局部门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预算</w:t>
      </w: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目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第一部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分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2017年 霞山区人社局  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（一）主要职责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四、"三公"经费说明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机关运行经费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政府采购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专业名词解释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第二部分     2017年霞山区人社局  部门预算表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年财政拨款收支总表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年一般公共预算支出表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年一般公共预算基本支出表（部门经济分类）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年一般公共预算“三公”经费支出表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年政府性基金预算支出表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年部门收支总表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年部门收入表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年部门支出表</w:t>
      </w: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2017年</w:t>
      </w:r>
      <w:r>
        <w:rPr>
          <w:rFonts w:hint="eastAsia" w:ascii="宋体" w:hAnsi="宋体" w:cs="宋体"/>
          <w:b/>
          <w:bCs/>
          <w:color w:val="auto"/>
          <w:sz w:val="44"/>
          <w:szCs w:val="44"/>
          <w:lang w:eastAsia="zh-CN"/>
        </w:rPr>
        <w:t>霞山区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人社局部门预算基本情况说明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643" w:firstLineChars="200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主要职责</w:t>
      </w:r>
    </w:p>
    <w:p>
      <w:pPr>
        <w:spacing w:line="288" w:lineRule="auto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本部门贯彻执行国家、省和市有关人力资源和社会保障事业发展的方针政策和法律法规，拟定本区人力资源和社会保障事业发展规划、政策，并组织实施和监督检查。</w:t>
      </w:r>
    </w:p>
    <w:p>
      <w:pPr>
        <w:numPr>
          <w:ilvl w:val="0"/>
          <w:numId w:val="3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机构设置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本部门无下属单位，部门预算为本级预算。</w:t>
      </w:r>
    </w:p>
    <w:p>
      <w:pPr>
        <w:spacing w:line="288" w:lineRule="auto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本部门行政编制18名，事业编制4名，后勤服务人员2名。本部门实有在职人员23名、离退休人员11名。</w:t>
      </w:r>
    </w:p>
    <w:p>
      <w:pPr>
        <w:spacing w:line="288" w:lineRule="auto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内设机构设置为:（1）办公室；（2）综合规划和社会保险股；（3）就业促进和人力资源市场股；（4）调解仲裁管理股；（5）培训教育股；（6）专业技术人员和事业单位人事管理股；（7）工资福利和离退休人员服务股；（8）城乡居民医疗保险股；（9）公务员管理办公室（区军队转业干部安置工作领导小组办公室）。本部门直属行政单位2个：区劳动监察大队，正股级，事业编制2名，其中大队长1名；区公费医疗办公室，正股级，事业编制2名，其中主任1名。本部门下属单位有考试中心和人才服务办公室。</w:t>
      </w:r>
    </w:p>
    <w:p>
      <w:pPr>
        <w:spacing w:line="288" w:lineRule="auto"/>
        <w:ind w:firstLine="643" w:firstLineChars="200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2017年收入预算1670.48万元，同比减少6224.48万元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,下降78.84%</w:t>
      </w:r>
      <w:r>
        <w:rPr>
          <w:rFonts w:hint="eastAsia" w:ascii="仿宋_GB2312" w:hAnsi="仿宋_GB2312" w:eastAsia="仿宋_GB2312" w:cs="仿宋_GB2312"/>
          <w:sz w:val="32"/>
          <w:szCs w:val="32"/>
        </w:rPr>
        <w:t>。减少的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主要原因是</w:t>
      </w:r>
      <w:r>
        <w:rPr>
          <w:rFonts w:hint="eastAsia" w:ascii="仿宋_GB2312" w:hAnsi="仿宋_GB2312" w:eastAsia="仿宋_GB2312" w:cs="仿宋_GB2312"/>
          <w:sz w:val="32"/>
          <w:szCs w:val="32"/>
        </w:rPr>
        <w:t>上级补助减少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其中：预算经费安排拨款1650.48万元，其他非税收入安排拨款0万元。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2017年支出预算1670.48万元，同比减少6224.48万元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,下降78.84%</w:t>
      </w:r>
      <w:r>
        <w:rPr>
          <w:rFonts w:hint="eastAsia" w:ascii="仿宋_GB2312" w:hAnsi="仿宋_GB2312" w:eastAsia="仿宋_GB2312" w:cs="仿宋_GB2312"/>
          <w:sz w:val="32"/>
          <w:szCs w:val="32"/>
        </w:rPr>
        <w:t>。减少的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主要原因是</w:t>
      </w:r>
      <w:r>
        <w:rPr>
          <w:rFonts w:hint="eastAsia" w:ascii="仿宋_GB2312" w:hAnsi="仿宋_GB2312" w:eastAsia="仿宋_GB2312" w:cs="仿宋_GB2312"/>
          <w:sz w:val="32"/>
          <w:szCs w:val="32"/>
        </w:rPr>
        <w:t>上级补助减少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支出按经济分类划分：1、基本支出预算330.17万元，其中：工资福利支出184.32万元，一般商品和服务支出21.06万元，对个人和家庭的补助支出124.79万元；2、项目支出预算1340.31万元。</w:t>
      </w:r>
    </w:p>
    <w:p>
      <w:pPr>
        <w:numPr>
          <w:ilvl w:val="0"/>
          <w:numId w:val="4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“三公经费”说明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2017年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三公经费预算安排为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与上年持平。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其中：因公出国（境）费0万元，与上年保持不变；公务用车购置及运行费2万元，与上年保持不变。公务接待费0万元，与上年持平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其他需要说明的情况</w:t>
      </w:r>
    </w:p>
    <w:p>
      <w:pPr>
        <w:numPr>
          <w:numId w:val="0"/>
        </w:numPr>
        <w:spacing w:line="288" w:lineRule="auto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机关运行经费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情况</w:t>
      </w:r>
    </w:p>
    <w:p>
      <w:pPr>
        <w:numPr>
          <w:ilvl w:val="0"/>
          <w:numId w:val="0"/>
        </w:numPr>
        <w:spacing w:line="288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，比去年增加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1.96万元，下降10.26%,增加的原因是其他交通费用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:办公费8.05万元,邮电费0.92万元,公务用车运行和维护费2万元,其他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交通费用10.09万元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(二)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政府采购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numPr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(三)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国有资产占有使用情况</w:t>
      </w:r>
    </w:p>
    <w:p>
      <w:pPr>
        <w:spacing w:line="580" w:lineRule="exact"/>
        <w:ind w:firstLine="602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截至2016年12月31日，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本部门国有资产总额为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本部门现有车辆1辆，其中，一般公务用车1辆。</w:t>
      </w:r>
    </w:p>
    <w:p>
      <w:pPr>
        <w:numPr>
          <w:ilvl w:val="0"/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(四)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重点项目预算绩效目标设置情况：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(五)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专业名词解释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E312E6"/>
    <w:multiLevelType w:val="singleLevel"/>
    <w:tmpl w:val="B0E312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712EB1"/>
    <w:multiLevelType w:val="singleLevel"/>
    <w:tmpl w:val="3B712E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663"/>
    <w:rsid w:val="000A3FF2"/>
    <w:rsid w:val="000E6C3F"/>
    <w:rsid w:val="0016359B"/>
    <w:rsid w:val="001934CC"/>
    <w:rsid w:val="001F125B"/>
    <w:rsid w:val="002B6E31"/>
    <w:rsid w:val="002F0146"/>
    <w:rsid w:val="003C3F61"/>
    <w:rsid w:val="003D221D"/>
    <w:rsid w:val="00422FC0"/>
    <w:rsid w:val="004740CA"/>
    <w:rsid w:val="004B76A2"/>
    <w:rsid w:val="004E61D2"/>
    <w:rsid w:val="004F6E65"/>
    <w:rsid w:val="00537A6E"/>
    <w:rsid w:val="0067186C"/>
    <w:rsid w:val="00720619"/>
    <w:rsid w:val="00767177"/>
    <w:rsid w:val="007E0142"/>
    <w:rsid w:val="00812B44"/>
    <w:rsid w:val="008C3FBC"/>
    <w:rsid w:val="008C4663"/>
    <w:rsid w:val="008E28EB"/>
    <w:rsid w:val="009170DE"/>
    <w:rsid w:val="0096461F"/>
    <w:rsid w:val="009811BA"/>
    <w:rsid w:val="009B5233"/>
    <w:rsid w:val="009C2AF6"/>
    <w:rsid w:val="009D3940"/>
    <w:rsid w:val="00A21AE3"/>
    <w:rsid w:val="00A21AE9"/>
    <w:rsid w:val="00A573AB"/>
    <w:rsid w:val="00A57E32"/>
    <w:rsid w:val="00A60F12"/>
    <w:rsid w:val="00AA1211"/>
    <w:rsid w:val="00AA21D4"/>
    <w:rsid w:val="00AC7E7D"/>
    <w:rsid w:val="00AD1FB7"/>
    <w:rsid w:val="00B304B0"/>
    <w:rsid w:val="00B30A14"/>
    <w:rsid w:val="00B9674A"/>
    <w:rsid w:val="00BC3A30"/>
    <w:rsid w:val="00C04998"/>
    <w:rsid w:val="00C07F4F"/>
    <w:rsid w:val="00C23566"/>
    <w:rsid w:val="00C56190"/>
    <w:rsid w:val="00D17E62"/>
    <w:rsid w:val="00D8241E"/>
    <w:rsid w:val="00D870AA"/>
    <w:rsid w:val="00DB35D9"/>
    <w:rsid w:val="00DC1529"/>
    <w:rsid w:val="00E21034"/>
    <w:rsid w:val="00E42B86"/>
    <w:rsid w:val="00E51635"/>
    <w:rsid w:val="00F7187A"/>
    <w:rsid w:val="00FD4E87"/>
    <w:rsid w:val="00FF6723"/>
    <w:rsid w:val="0ABD6F51"/>
    <w:rsid w:val="0BF13ACB"/>
    <w:rsid w:val="11BB42F9"/>
    <w:rsid w:val="17E456E5"/>
    <w:rsid w:val="47AA4DE4"/>
    <w:rsid w:val="4BA96990"/>
    <w:rsid w:val="59A16082"/>
    <w:rsid w:val="5DC6102E"/>
    <w:rsid w:val="6A75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Balloon Text Char"/>
    <w:basedOn w:val="5"/>
    <w:link w:val="2"/>
    <w:semiHidden/>
    <w:qFormat/>
    <w:uiPriority w:val="99"/>
    <w:rPr>
      <w:sz w:val="0"/>
      <w:szCs w:val="0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Header Char"/>
    <w:basedOn w:val="5"/>
    <w:link w:val="4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2</Pages>
  <Words>95</Words>
  <Characters>548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2012-08-09T07:53:00Z</dcterms:created>
  <dc:creator>张延彬</dc:creator>
  <cp:lastModifiedBy>Administrator</cp:lastModifiedBy>
  <cp:lastPrinted>2016-01-06T08:14:00Z</cp:lastPrinted>
  <dcterms:modified xsi:type="dcterms:W3CDTF">2018-04-05T03:49:01Z</dcterms:modified>
  <dc:title>部 门 决 算 公 开 基 本 样 式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